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D5F3" w14:textId="77777777" w:rsidR="00457EF7" w:rsidRPr="00C17CC1" w:rsidRDefault="00000000">
      <w:pPr>
        <w:jc w:val="center"/>
        <w:rPr>
          <w:lang w:val="fr-FR"/>
        </w:rPr>
      </w:pPr>
      <w:r w:rsidRPr="00C17CC1">
        <w:rPr>
          <w:b/>
          <w:sz w:val="28"/>
          <w:lang w:val="fr-FR"/>
        </w:rPr>
        <w:t>Indicateur 2 – Critère 1 : Présentation des résultats obtenus</w:t>
      </w:r>
    </w:p>
    <w:p w14:paraId="3ACAAE42" w14:textId="77777777" w:rsidR="00457EF7" w:rsidRPr="00C17CC1" w:rsidRDefault="00457EF7">
      <w:pPr>
        <w:rPr>
          <w:lang w:val="fr-FR"/>
        </w:rPr>
      </w:pPr>
    </w:p>
    <w:p w14:paraId="0C8BF1CC" w14:textId="0A104C49" w:rsidR="00457EF7" w:rsidRPr="00C17CC1" w:rsidRDefault="00000000">
      <w:pPr>
        <w:jc w:val="center"/>
        <w:rPr>
          <w:lang w:val="fr-FR"/>
        </w:rPr>
      </w:pPr>
      <w:r w:rsidRPr="00C17CC1">
        <w:rPr>
          <w:i/>
          <w:sz w:val="24"/>
          <w:lang w:val="fr-FR"/>
        </w:rPr>
        <w:t>Tableau des indicateurs de performance – année 202</w:t>
      </w:r>
      <w:r w:rsidR="00C52F28">
        <w:rPr>
          <w:i/>
          <w:sz w:val="24"/>
          <w:lang w:val="fr-FR"/>
        </w:rPr>
        <w:t>5</w:t>
      </w:r>
    </w:p>
    <w:p w14:paraId="6FC7CE16" w14:textId="77777777" w:rsidR="00457EF7" w:rsidRPr="00C17CC1" w:rsidRDefault="00457EF7">
      <w:pPr>
        <w:rPr>
          <w:lang w:val="fr-FR"/>
        </w:rPr>
      </w:pPr>
    </w:p>
    <w:tbl>
      <w:tblPr>
        <w:tblStyle w:val="Grilledutableau"/>
        <w:tblW w:w="0" w:type="auto"/>
        <w:tblLook w:val="04A0" w:firstRow="1" w:lastRow="0" w:firstColumn="1" w:lastColumn="0" w:noHBand="0" w:noVBand="1"/>
      </w:tblPr>
      <w:tblGrid>
        <w:gridCol w:w="2257"/>
        <w:gridCol w:w="2257"/>
        <w:gridCol w:w="2257"/>
        <w:gridCol w:w="2257"/>
      </w:tblGrid>
      <w:tr w:rsidR="00457EF7" w14:paraId="5E9503F7" w14:textId="77777777">
        <w:tc>
          <w:tcPr>
            <w:tcW w:w="2257" w:type="dxa"/>
          </w:tcPr>
          <w:p w14:paraId="5F3A1DEC" w14:textId="77777777" w:rsidR="00457EF7" w:rsidRDefault="00000000">
            <w:pPr>
              <w:jc w:val="center"/>
            </w:pPr>
            <w:r>
              <w:rPr>
                <w:b/>
              </w:rPr>
              <w:t>Indicateur</w:t>
            </w:r>
          </w:p>
        </w:tc>
        <w:tc>
          <w:tcPr>
            <w:tcW w:w="2257" w:type="dxa"/>
          </w:tcPr>
          <w:p w14:paraId="539AD15B" w14:textId="77777777" w:rsidR="00457EF7" w:rsidRDefault="00000000">
            <w:pPr>
              <w:jc w:val="center"/>
            </w:pPr>
            <w:r>
              <w:rPr>
                <w:b/>
              </w:rPr>
              <w:t>Résultat 2024</w:t>
            </w:r>
          </w:p>
        </w:tc>
        <w:tc>
          <w:tcPr>
            <w:tcW w:w="2257" w:type="dxa"/>
          </w:tcPr>
          <w:p w14:paraId="755E7C1A" w14:textId="77777777" w:rsidR="00457EF7" w:rsidRDefault="00000000">
            <w:pPr>
              <w:jc w:val="center"/>
            </w:pPr>
            <w:r>
              <w:rPr>
                <w:b/>
              </w:rPr>
              <w:t>Objectif 2025</w:t>
            </w:r>
          </w:p>
        </w:tc>
        <w:tc>
          <w:tcPr>
            <w:tcW w:w="2257" w:type="dxa"/>
          </w:tcPr>
          <w:p w14:paraId="44CBEECD" w14:textId="77777777" w:rsidR="00457EF7" w:rsidRDefault="00000000">
            <w:pPr>
              <w:jc w:val="center"/>
            </w:pPr>
            <w:r>
              <w:rPr>
                <w:b/>
              </w:rPr>
              <w:t>Commentaire</w:t>
            </w:r>
          </w:p>
        </w:tc>
      </w:tr>
      <w:tr w:rsidR="00457EF7" w:rsidRPr="00FB0B7E" w14:paraId="6EA43E91" w14:textId="77777777">
        <w:tc>
          <w:tcPr>
            <w:tcW w:w="2257" w:type="dxa"/>
          </w:tcPr>
          <w:p w14:paraId="15C5FE3D" w14:textId="77777777" w:rsidR="00457EF7" w:rsidRDefault="00000000">
            <w:pPr>
              <w:jc w:val="center"/>
            </w:pPr>
            <w:r>
              <w:t>Taux de réussite</w:t>
            </w:r>
          </w:p>
        </w:tc>
        <w:tc>
          <w:tcPr>
            <w:tcW w:w="2257" w:type="dxa"/>
          </w:tcPr>
          <w:p w14:paraId="67B72607" w14:textId="77777777" w:rsidR="00457EF7" w:rsidRDefault="00000000">
            <w:pPr>
              <w:jc w:val="center"/>
            </w:pPr>
            <w:r>
              <w:t>100 %</w:t>
            </w:r>
          </w:p>
        </w:tc>
        <w:tc>
          <w:tcPr>
            <w:tcW w:w="2257" w:type="dxa"/>
          </w:tcPr>
          <w:p w14:paraId="783AB966" w14:textId="77777777" w:rsidR="00457EF7" w:rsidRDefault="00000000">
            <w:pPr>
              <w:jc w:val="center"/>
            </w:pPr>
            <w:r>
              <w:t>Maintien à 100 %</w:t>
            </w:r>
          </w:p>
        </w:tc>
        <w:tc>
          <w:tcPr>
            <w:tcW w:w="2257" w:type="dxa"/>
          </w:tcPr>
          <w:p w14:paraId="7FE77C9B" w14:textId="77777777" w:rsidR="00457EF7" w:rsidRPr="00C52F28" w:rsidRDefault="00000000">
            <w:pPr>
              <w:rPr>
                <w:lang w:val="fr-FR"/>
              </w:rPr>
            </w:pPr>
            <w:r w:rsidRPr="00C52F28">
              <w:rPr>
                <w:lang w:val="fr-FR"/>
              </w:rPr>
              <w:t>Tous les stagiaires ont validé leur formation et obtenu leur attestation.</w:t>
            </w:r>
          </w:p>
        </w:tc>
      </w:tr>
      <w:tr w:rsidR="00457EF7" w:rsidRPr="00FB0B7E" w14:paraId="2ED8E3C6" w14:textId="77777777">
        <w:tc>
          <w:tcPr>
            <w:tcW w:w="2257" w:type="dxa"/>
          </w:tcPr>
          <w:p w14:paraId="2E012F0C" w14:textId="77777777" w:rsidR="00457EF7" w:rsidRDefault="00000000">
            <w:pPr>
              <w:jc w:val="center"/>
            </w:pPr>
            <w:proofErr w:type="spellStart"/>
            <w:r>
              <w:t>Taux</w:t>
            </w:r>
            <w:proofErr w:type="spellEnd"/>
            <w:r>
              <w:t xml:space="preserve"> de satisfaction global</w:t>
            </w:r>
          </w:p>
        </w:tc>
        <w:tc>
          <w:tcPr>
            <w:tcW w:w="2257" w:type="dxa"/>
          </w:tcPr>
          <w:p w14:paraId="7E76A843" w14:textId="77777777" w:rsidR="00457EF7" w:rsidRDefault="00000000">
            <w:pPr>
              <w:jc w:val="center"/>
            </w:pPr>
            <w:r>
              <w:t>98 %</w:t>
            </w:r>
          </w:p>
        </w:tc>
        <w:tc>
          <w:tcPr>
            <w:tcW w:w="2257" w:type="dxa"/>
          </w:tcPr>
          <w:p w14:paraId="2922086E" w14:textId="77777777" w:rsidR="00457EF7" w:rsidRDefault="00000000">
            <w:pPr>
              <w:jc w:val="center"/>
            </w:pPr>
            <w:r>
              <w:t>≥ 95 %</w:t>
            </w:r>
          </w:p>
        </w:tc>
        <w:tc>
          <w:tcPr>
            <w:tcW w:w="2257" w:type="dxa"/>
          </w:tcPr>
          <w:p w14:paraId="19AA21A1" w14:textId="77777777" w:rsidR="00457EF7" w:rsidRPr="00C52F28" w:rsidRDefault="00000000">
            <w:pPr>
              <w:rPr>
                <w:lang w:val="fr-FR"/>
              </w:rPr>
            </w:pPr>
            <w:r w:rsidRPr="00C52F28">
              <w:rPr>
                <w:lang w:val="fr-FR"/>
              </w:rPr>
              <w:t>Satisfaction recueillie via questionnaires de fin de formation.</w:t>
            </w:r>
          </w:p>
        </w:tc>
      </w:tr>
      <w:tr w:rsidR="00457EF7" w:rsidRPr="00FB0B7E" w14:paraId="30B06731" w14:textId="77777777">
        <w:tc>
          <w:tcPr>
            <w:tcW w:w="2257" w:type="dxa"/>
          </w:tcPr>
          <w:p w14:paraId="51A6E4F1" w14:textId="77777777" w:rsidR="00457EF7" w:rsidRPr="00C52F28" w:rsidRDefault="00000000">
            <w:pPr>
              <w:jc w:val="center"/>
              <w:rPr>
                <w:lang w:val="fr-FR"/>
              </w:rPr>
            </w:pPr>
            <w:r w:rsidRPr="00C52F28">
              <w:rPr>
                <w:lang w:val="fr-FR"/>
              </w:rPr>
              <w:t>Nombre moyen de stagiaires / session</w:t>
            </w:r>
          </w:p>
        </w:tc>
        <w:tc>
          <w:tcPr>
            <w:tcW w:w="2257" w:type="dxa"/>
          </w:tcPr>
          <w:p w14:paraId="0AA9CC5E" w14:textId="77777777" w:rsidR="00457EF7" w:rsidRDefault="00000000">
            <w:pPr>
              <w:jc w:val="center"/>
            </w:pPr>
            <w:r>
              <w:t>10 à 12</w:t>
            </w:r>
          </w:p>
        </w:tc>
        <w:tc>
          <w:tcPr>
            <w:tcW w:w="2257" w:type="dxa"/>
          </w:tcPr>
          <w:p w14:paraId="2F11EB52" w14:textId="77777777" w:rsidR="00457EF7" w:rsidRDefault="00000000">
            <w:pPr>
              <w:jc w:val="center"/>
            </w:pPr>
            <w:r>
              <w:t>10 à 12</w:t>
            </w:r>
          </w:p>
        </w:tc>
        <w:tc>
          <w:tcPr>
            <w:tcW w:w="2257" w:type="dxa"/>
          </w:tcPr>
          <w:p w14:paraId="5D7D72F7" w14:textId="77777777" w:rsidR="00457EF7" w:rsidRPr="00C52F28" w:rsidRDefault="00000000">
            <w:pPr>
              <w:rPr>
                <w:lang w:val="fr-FR"/>
              </w:rPr>
            </w:pPr>
            <w:r w:rsidRPr="00C52F28">
              <w:rPr>
                <w:lang w:val="fr-FR"/>
              </w:rPr>
              <w:t>Taille optimale pour garantir qualité et participation active.</w:t>
            </w:r>
          </w:p>
        </w:tc>
      </w:tr>
    </w:tbl>
    <w:p w14:paraId="7A738722" w14:textId="77777777" w:rsidR="00457EF7" w:rsidRPr="00C52F28" w:rsidRDefault="00457EF7">
      <w:pPr>
        <w:rPr>
          <w:lang w:val="fr-FR"/>
        </w:rPr>
      </w:pPr>
    </w:p>
    <w:p w14:paraId="3D14165E" w14:textId="620B64D4" w:rsidR="00457EF7" w:rsidRPr="00C52F28" w:rsidRDefault="00000000">
      <w:pPr>
        <w:rPr>
          <w:lang w:val="fr-FR"/>
        </w:rPr>
      </w:pPr>
      <w:r w:rsidRPr="00C52F28">
        <w:rPr>
          <w:b/>
          <w:lang w:val="fr-FR"/>
        </w:rPr>
        <w:t>Analyse et amélioration continue</w:t>
      </w:r>
      <w:r w:rsidRPr="00C52F28">
        <w:rPr>
          <w:b/>
          <w:lang w:val="fr-FR"/>
        </w:rPr>
        <w:br/>
      </w:r>
      <w:r w:rsidRPr="00C52F28">
        <w:rPr>
          <w:lang w:val="fr-FR"/>
        </w:rPr>
        <w:t>Les résultats de l’année 2024 confirment la qualité des formations dispensées par ARSECOURS. Les taux de réussite et de satisfaction demeurent très élevés, reflet du professionnalisme des formateurs et de l’adaptation des contenus pédagogiques.</w:t>
      </w:r>
      <w:r w:rsidRPr="00C52F28">
        <w:rPr>
          <w:lang w:val="fr-FR"/>
        </w:rPr>
        <w:br/>
      </w:r>
      <w:r w:rsidRPr="00C52F28">
        <w:rPr>
          <w:lang w:val="fr-FR"/>
        </w:rPr>
        <w:br/>
        <w:t>Dans le cadre de l’amélioration continue :</w:t>
      </w:r>
      <w:r w:rsidRPr="00C52F28">
        <w:rPr>
          <w:lang w:val="fr-FR"/>
        </w:rPr>
        <w:br/>
        <w:t>• Les retours stagiaires sont systématiquement analysés pour identifier les points d’amélioration.</w:t>
      </w:r>
      <w:r w:rsidRPr="00C52F28">
        <w:rPr>
          <w:lang w:val="fr-FR"/>
        </w:rPr>
        <w:br/>
        <w:t>• Des ajustements sont apportés sur les supports, les mises en situation et la logistique des formations.</w:t>
      </w:r>
      <w:r w:rsidRPr="00C52F28">
        <w:rPr>
          <w:lang w:val="fr-FR"/>
        </w:rPr>
        <w:br/>
      </w:r>
    </w:p>
    <w:sectPr w:rsidR="00457EF7" w:rsidRPr="00C52F28" w:rsidSect="00034616">
      <w:headerReference w:type="even" r:id="rId8"/>
      <w:headerReference w:type="default" r:id="rId9"/>
      <w:footerReference w:type="even" r:id="rId10"/>
      <w:footerReference w:type="default" r:id="rId11"/>
      <w:headerReference w:type="first" r:id="rId12"/>
      <w:footerReference w:type="first" r:id="rId13"/>
      <w:pgSz w:w="11909" w:h="1684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47FAB" w14:textId="77777777" w:rsidR="00E267A6" w:rsidRDefault="00E267A6">
      <w:pPr>
        <w:spacing w:after="0" w:line="240" w:lineRule="auto"/>
      </w:pPr>
      <w:r>
        <w:separator/>
      </w:r>
    </w:p>
  </w:endnote>
  <w:endnote w:type="continuationSeparator" w:id="0">
    <w:p w14:paraId="787B6247" w14:textId="77777777" w:rsidR="00E267A6" w:rsidRDefault="00E2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0E45" w14:textId="77777777" w:rsidR="00C52F28" w:rsidRDefault="00C52F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614C" w14:textId="77777777" w:rsidR="00C52F28" w:rsidRDefault="00C52F2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04B6" w14:textId="77777777" w:rsidR="00C52F28" w:rsidRDefault="00C52F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ABC5" w14:textId="77777777" w:rsidR="00E267A6" w:rsidRDefault="00E267A6">
      <w:pPr>
        <w:spacing w:after="0" w:line="240" w:lineRule="auto"/>
      </w:pPr>
      <w:r>
        <w:separator/>
      </w:r>
    </w:p>
  </w:footnote>
  <w:footnote w:type="continuationSeparator" w:id="0">
    <w:p w14:paraId="35E70D36" w14:textId="77777777" w:rsidR="00E267A6" w:rsidRDefault="00E26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031B" w14:textId="77777777" w:rsidR="00C52F28" w:rsidRDefault="00C52F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4458C" w14:textId="3460F676" w:rsidR="00457EF7" w:rsidRDefault="00457EF7">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D479" w14:textId="77777777" w:rsidR="00C52F28" w:rsidRDefault="00C52F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715618230">
    <w:abstractNumId w:val="8"/>
  </w:num>
  <w:num w:numId="2" w16cid:durableId="1704138718">
    <w:abstractNumId w:val="6"/>
  </w:num>
  <w:num w:numId="3" w16cid:durableId="275715310">
    <w:abstractNumId w:val="5"/>
  </w:num>
  <w:num w:numId="4" w16cid:durableId="533008455">
    <w:abstractNumId w:val="4"/>
  </w:num>
  <w:num w:numId="5" w16cid:durableId="1129785226">
    <w:abstractNumId w:val="7"/>
  </w:num>
  <w:num w:numId="6" w16cid:durableId="774058436">
    <w:abstractNumId w:val="3"/>
  </w:num>
  <w:num w:numId="7" w16cid:durableId="1017780250">
    <w:abstractNumId w:val="2"/>
  </w:num>
  <w:num w:numId="8" w16cid:durableId="1846942622">
    <w:abstractNumId w:val="1"/>
  </w:num>
  <w:num w:numId="9" w16cid:durableId="65877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B30"/>
    <w:rsid w:val="00034616"/>
    <w:rsid w:val="0005491F"/>
    <w:rsid w:val="0006063C"/>
    <w:rsid w:val="0015074B"/>
    <w:rsid w:val="0029639D"/>
    <w:rsid w:val="00326F90"/>
    <w:rsid w:val="00457EF7"/>
    <w:rsid w:val="004762D6"/>
    <w:rsid w:val="004D329E"/>
    <w:rsid w:val="005C1C62"/>
    <w:rsid w:val="00615CEE"/>
    <w:rsid w:val="00644140"/>
    <w:rsid w:val="006A587B"/>
    <w:rsid w:val="007E6027"/>
    <w:rsid w:val="008E72FF"/>
    <w:rsid w:val="00913173"/>
    <w:rsid w:val="00AA1D8D"/>
    <w:rsid w:val="00B47730"/>
    <w:rsid w:val="00C17CC1"/>
    <w:rsid w:val="00C52F28"/>
    <w:rsid w:val="00CB0664"/>
    <w:rsid w:val="00D64B9E"/>
    <w:rsid w:val="00E267A6"/>
    <w:rsid w:val="00FB0B7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DD46C5"/>
  <w14:defaultImageDpi w14:val="300"/>
  <w15:docId w15:val="{0CDCA2D9-7439-482F-BCC6-B74BBA88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159</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Reine Margaretta</cp:lastModifiedBy>
  <cp:revision>7</cp:revision>
  <dcterms:created xsi:type="dcterms:W3CDTF">2025-11-13T15:28:00Z</dcterms:created>
  <dcterms:modified xsi:type="dcterms:W3CDTF">2025-12-05T17:50:00Z</dcterms:modified>
  <cp:category/>
</cp:coreProperties>
</file>